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5C7" w14:textId="5EB755E1" w:rsidR="00E75645" w:rsidRDefault="00000000" w:rsidP="00245912">
      <w:pPr>
        <w:rPr>
          <w:b/>
          <w:bCs/>
          <w:color w:val="800000"/>
          <w:sz w:val="32"/>
          <w:szCs w:val="32"/>
        </w:rPr>
      </w:pPr>
      <w:r>
        <w:rPr>
          <w:b/>
          <w:bCs/>
          <w:color w:val="800000"/>
          <w:sz w:val="32"/>
          <w:szCs w:val="32"/>
        </w:rPr>
        <w:t>INFORMACJA W SPRAWIE DODATKU WĘGLOWEGO</w:t>
      </w:r>
    </w:p>
    <w:p w14:paraId="3A668396" w14:textId="09D2EC16" w:rsidR="00245912" w:rsidRDefault="00245912">
      <w:pPr>
        <w:jc w:val="center"/>
        <w:rPr>
          <w:b/>
          <w:bCs/>
          <w:color w:val="800000"/>
          <w:sz w:val="32"/>
          <w:szCs w:val="32"/>
        </w:rPr>
      </w:pPr>
    </w:p>
    <w:p w14:paraId="7BB7AC41" w14:textId="50583685" w:rsidR="00245912" w:rsidRDefault="00245912" w:rsidP="00245912">
      <w:pPr>
        <w:rPr>
          <w:rFonts w:hint="eastAsia"/>
          <w:b/>
          <w:bCs/>
          <w:color w:val="800000"/>
          <w:sz w:val="32"/>
          <w:szCs w:val="32"/>
        </w:rPr>
      </w:pPr>
      <w:r w:rsidRPr="00A32680">
        <w:rPr>
          <w:rFonts w:ascii="Arial" w:eastAsia="Times New Roman" w:hAnsi="Arial" w:cs="Arial"/>
          <w:noProof/>
          <w:color w:val="0000FF"/>
          <w:sz w:val="23"/>
          <w:szCs w:val="23"/>
          <w:lang w:eastAsia="pl-PL"/>
        </w:rPr>
        <w:drawing>
          <wp:inline distT="0" distB="0" distL="0" distR="0" wp14:anchorId="63305E5C" wp14:editId="59845C5A">
            <wp:extent cx="3400425" cy="2256206"/>
            <wp:effectExtent l="0" t="0" r="0" b="0"/>
            <wp:docPr id="1" name="Obraz 1" descr="Informacje o dodatku węglowym">
              <a:hlinkClick xmlns:a="http://schemas.openxmlformats.org/drawingml/2006/main" r:id="rId5" tooltip="&quot;kliknięcie spowoduje wyświetlenie powiększen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je o dodatku węglowym">
                      <a:hlinkClick r:id="rId5" tooltip="&quot;kliknięcie spowoduje wyświetlenie powiększen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27" cy="225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CDED" w14:textId="77777777" w:rsidR="00E75645" w:rsidRDefault="00E75645">
      <w:pPr>
        <w:rPr>
          <w:rFonts w:hint="eastAsia"/>
          <w:b/>
          <w:bCs/>
          <w:sz w:val="32"/>
          <w:szCs w:val="32"/>
        </w:rPr>
      </w:pPr>
    </w:p>
    <w:p w14:paraId="1D5EAD47" w14:textId="5AC8BF55" w:rsidR="00E75645" w:rsidRPr="00554D1A" w:rsidRDefault="000B14C8">
      <w:pPr>
        <w:jc w:val="both"/>
        <w:rPr>
          <w:rFonts w:hint="eastAsia"/>
        </w:rPr>
      </w:pPr>
      <w:r w:rsidRPr="00554D1A">
        <w:t xml:space="preserve">       </w:t>
      </w:r>
      <w:r w:rsidR="00000000" w:rsidRPr="00554D1A">
        <w:t>Gminny</w:t>
      </w:r>
      <w:r w:rsidRPr="00554D1A">
        <w:t xml:space="preserve">  </w:t>
      </w:r>
      <w:r w:rsidR="00000000" w:rsidRPr="00554D1A">
        <w:t xml:space="preserve"> Ośrodek </w:t>
      </w:r>
      <w:r w:rsidRPr="00554D1A">
        <w:t xml:space="preserve">  </w:t>
      </w:r>
      <w:r w:rsidR="00000000" w:rsidRPr="00554D1A">
        <w:t>Pomocy</w:t>
      </w:r>
      <w:r w:rsidRPr="00554D1A">
        <w:t xml:space="preserve">  </w:t>
      </w:r>
      <w:r w:rsidR="00000000" w:rsidRPr="00554D1A">
        <w:t xml:space="preserve"> Społecznej</w:t>
      </w:r>
      <w:r w:rsidRPr="00554D1A">
        <w:t xml:space="preserve"> </w:t>
      </w:r>
      <w:r w:rsidR="00000000" w:rsidRPr="00554D1A">
        <w:t xml:space="preserve"> w</w:t>
      </w:r>
      <w:r w:rsidRPr="00554D1A">
        <w:t xml:space="preserve"> </w:t>
      </w:r>
      <w:r w:rsidR="00000000" w:rsidRPr="00554D1A">
        <w:t xml:space="preserve"> Abramowie </w:t>
      </w:r>
      <w:r w:rsidRPr="00554D1A">
        <w:t xml:space="preserve">  </w:t>
      </w:r>
      <w:r w:rsidR="00000000" w:rsidRPr="00554D1A">
        <w:t xml:space="preserve">informuje, </w:t>
      </w:r>
      <w:r w:rsidRPr="00554D1A">
        <w:t xml:space="preserve"> </w:t>
      </w:r>
      <w:r w:rsidR="00000000" w:rsidRPr="00554D1A">
        <w:t xml:space="preserve">że od dnia </w:t>
      </w:r>
    </w:p>
    <w:p w14:paraId="542A4EC3" w14:textId="77777777" w:rsidR="00E75645" w:rsidRPr="00554D1A" w:rsidRDefault="00000000">
      <w:pPr>
        <w:jc w:val="both"/>
        <w:rPr>
          <w:rFonts w:hint="eastAsia"/>
        </w:rPr>
      </w:pPr>
      <w:r w:rsidRPr="00554D1A">
        <w:t>22 sierpnia 2022 r. przyjmuje wnioski o wypłatę dodatku węglowego dla mieszkańców gminy Abramów.</w:t>
      </w:r>
    </w:p>
    <w:p w14:paraId="761C841A" w14:textId="77777777" w:rsidR="00E75645" w:rsidRPr="00554D1A" w:rsidRDefault="00E75645">
      <w:pPr>
        <w:jc w:val="both"/>
        <w:rPr>
          <w:rFonts w:hint="eastAsia"/>
        </w:rPr>
      </w:pPr>
    </w:p>
    <w:p w14:paraId="3F04BD8D" w14:textId="3C7C35D7" w:rsidR="00E75645" w:rsidRPr="00554D1A" w:rsidRDefault="00000000" w:rsidP="00CC3AC1">
      <w:pPr>
        <w:rPr>
          <w:rFonts w:hint="eastAsia"/>
          <w:b/>
          <w:bCs/>
        </w:rPr>
      </w:pPr>
      <w:r w:rsidRPr="00554D1A">
        <w:rPr>
          <w:b/>
          <w:bCs/>
        </w:rPr>
        <w:t xml:space="preserve">Wnioski tradycyjne (papierowe) można składać do 30 listopada 2022 r. w siedzibie Gminnego Ośrodka Pomocy Społecznej w Abramowie (budynek Urzędu Gminy, piętro II, pok. 25-28) od poniedziałku do piątku w godzinach 8:00 – 14:30, </w:t>
      </w:r>
      <w:r w:rsidR="00CC3AC1" w:rsidRPr="00554D1A">
        <w:rPr>
          <w:b/>
          <w:bCs/>
        </w:rPr>
        <w:br/>
      </w:r>
      <w:r w:rsidRPr="00554D1A">
        <w:t>jak również elektronicznie za pomocą środków komunikacji elektronicznej, wniosek ten opatruje się kwalifikowanym podpisem elektronicznym lub uwierzytelnia z wykorzystaniem profilu zaufanego.</w:t>
      </w:r>
    </w:p>
    <w:p w14:paraId="33E8977A" w14:textId="77777777" w:rsidR="00E75645" w:rsidRPr="00554D1A" w:rsidRDefault="00E75645">
      <w:pPr>
        <w:jc w:val="both"/>
        <w:rPr>
          <w:rFonts w:hint="eastAsia"/>
          <w:b/>
          <w:bCs/>
        </w:rPr>
      </w:pPr>
    </w:p>
    <w:p w14:paraId="7D07E135" w14:textId="77777777" w:rsidR="00E75645" w:rsidRPr="00554D1A" w:rsidRDefault="00000000">
      <w:pPr>
        <w:jc w:val="both"/>
        <w:rPr>
          <w:rFonts w:hint="eastAsia"/>
        </w:rPr>
      </w:pPr>
      <w:r w:rsidRPr="00554D1A">
        <w:t xml:space="preserve">Zgodnie z ustawą z dnia 5 sierpnia 2022 r. o dodatku węglowym świadczenie przysługuje osobie w gospodarstwie domowym w przypadku gdy </w:t>
      </w:r>
      <w:r w:rsidRPr="00554D1A">
        <w:rPr>
          <w:b/>
          <w:bCs/>
        </w:rPr>
        <w:t xml:space="preserve">głównym źródłem ogrzewania gospodarstwa domowego jest kocioł na paliwo stałe, kominek, koza, ogrzewacz powietrza, trzon kuchenny, </w:t>
      </w:r>
      <w:proofErr w:type="spellStart"/>
      <w:r w:rsidRPr="00554D1A">
        <w:rPr>
          <w:b/>
          <w:bCs/>
        </w:rPr>
        <w:t>piecokuchnia</w:t>
      </w:r>
      <w:proofErr w:type="spellEnd"/>
      <w:r w:rsidRPr="00554D1A">
        <w:rPr>
          <w:b/>
          <w:bCs/>
        </w:rPr>
        <w:t>, kuchnia węglowa lub piec kaflowy na paliwo stałe, zasilane paliwami stałymi wpisane lub zgłoszone do centralnej emisyjności budynków.</w:t>
      </w:r>
    </w:p>
    <w:p w14:paraId="3257AFCE" w14:textId="77777777" w:rsidR="00E75645" w:rsidRPr="00554D1A" w:rsidRDefault="00E75645">
      <w:pPr>
        <w:jc w:val="both"/>
        <w:rPr>
          <w:rFonts w:hint="eastAsia"/>
        </w:rPr>
      </w:pPr>
    </w:p>
    <w:p w14:paraId="69004DEC" w14:textId="77777777" w:rsidR="00E75645" w:rsidRPr="00554D1A" w:rsidRDefault="00000000">
      <w:pPr>
        <w:jc w:val="both"/>
        <w:rPr>
          <w:rFonts w:hint="eastAsia"/>
          <w:u w:val="single"/>
        </w:rPr>
      </w:pPr>
      <w:r w:rsidRPr="00554D1A">
        <w:rPr>
          <w:u w:val="single"/>
        </w:rPr>
        <w:t xml:space="preserve"> Przez gospodarstwo domowe rozumie się:</w:t>
      </w:r>
    </w:p>
    <w:p w14:paraId="4BBA39A4" w14:textId="77777777" w:rsidR="00E75645" w:rsidRPr="00554D1A" w:rsidRDefault="00E75645">
      <w:pPr>
        <w:jc w:val="both"/>
        <w:rPr>
          <w:rFonts w:hint="eastAsia"/>
        </w:rPr>
      </w:pPr>
    </w:p>
    <w:p w14:paraId="4242196D" w14:textId="796EDE7D" w:rsidR="00E75645" w:rsidRPr="00554D1A" w:rsidRDefault="00000000">
      <w:pPr>
        <w:jc w:val="both"/>
        <w:rPr>
          <w:rFonts w:hint="eastAsia"/>
        </w:rPr>
      </w:pPr>
      <w:r w:rsidRPr="00554D1A">
        <w:t>- osobę fizyczn</w:t>
      </w:r>
      <w:r w:rsidR="00245912" w:rsidRPr="00554D1A">
        <w:t>ą</w:t>
      </w:r>
      <w:r w:rsidRPr="00554D1A">
        <w:t xml:space="preserve"> samotnie zamieszkującą i gospodarującą ( gospodarstwo domowe </w:t>
      </w:r>
      <w:r w:rsidR="00CC3AC1" w:rsidRPr="00554D1A">
        <w:t xml:space="preserve">   </w:t>
      </w:r>
      <w:r w:rsidRPr="00554D1A">
        <w:t>jednoosobowe) albo</w:t>
      </w:r>
    </w:p>
    <w:p w14:paraId="7CD6440F" w14:textId="043046EF" w:rsidR="00E75645" w:rsidRPr="00554D1A" w:rsidRDefault="00000000">
      <w:pPr>
        <w:jc w:val="both"/>
      </w:pPr>
      <w:r w:rsidRPr="00554D1A">
        <w:t>- osobę fizyczną oraz osoby z nią spokrewnione lub niespokrewnione pozostające w faktycznym związku, wspólnie z nią zamieszkujące i gospodarujące ( gospodarstwo domowe wieloosobowe).</w:t>
      </w:r>
    </w:p>
    <w:p w14:paraId="4B1DF90B" w14:textId="77777777" w:rsidR="00245912" w:rsidRPr="00554D1A" w:rsidRDefault="00245912">
      <w:pPr>
        <w:jc w:val="both"/>
        <w:rPr>
          <w:rFonts w:hint="eastAsia"/>
        </w:rPr>
      </w:pPr>
    </w:p>
    <w:p w14:paraId="42FDEF02" w14:textId="77777777" w:rsidR="00E75645" w:rsidRPr="00554D1A" w:rsidRDefault="00E75645">
      <w:pPr>
        <w:jc w:val="both"/>
        <w:rPr>
          <w:rFonts w:hint="eastAsia"/>
        </w:rPr>
      </w:pPr>
    </w:p>
    <w:p w14:paraId="22C6E76F" w14:textId="77777777" w:rsidR="00E75645" w:rsidRPr="00554D1A" w:rsidRDefault="00000000">
      <w:pPr>
        <w:jc w:val="both"/>
        <w:rPr>
          <w:rFonts w:hint="eastAsia"/>
        </w:rPr>
      </w:pPr>
      <w:r w:rsidRPr="00554D1A">
        <w:t xml:space="preserve">Wysokość dodatku węglowego dla gospodarstwa domowego wynosi </w:t>
      </w:r>
      <w:r w:rsidRPr="00554D1A">
        <w:rPr>
          <w:b/>
          <w:bCs/>
        </w:rPr>
        <w:t>3 000 złotych.</w:t>
      </w:r>
    </w:p>
    <w:p w14:paraId="43A960A5" w14:textId="77777777" w:rsidR="00E75645" w:rsidRPr="00554D1A" w:rsidRDefault="00E75645">
      <w:pPr>
        <w:jc w:val="both"/>
        <w:rPr>
          <w:rFonts w:hint="eastAsia"/>
        </w:rPr>
      </w:pPr>
    </w:p>
    <w:p w14:paraId="53ED732E" w14:textId="6B611E29" w:rsidR="00E75645" w:rsidRPr="00554D1A" w:rsidRDefault="00000000">
      <w:pPr>
        <w:jc w:val="both"/>
      </w:pPr>
      <w:r w:rsidRPr="00554D1A">
        <w:t>W przypadku gdy wniosek o wypłatę dodatku węglowego dla gospodarstwa domowego wieloosobowego złoży więcej niż jedna osoba dodatek przyznawany jest wnioskodawcy, który złożył taki wniosek jako pierwszy.</w:t>
      </w:r>
    </w:p>
    <w:p w14:paraId="5768925D" w14:textId="77777777" w:rsidR="00E75645" w:rsidRDefault="00E75645">
      <w:pPr>
        <w:jc w:val="both"/>
        <w:rPr>
          <w:rFonts w:hint="eastAsia"/>
          <w:sz w:val="28"/>
          <w:szCs w:val="28"/>
        </w:rPr>
      </w:pPr>
    </w:p>
    <w:p w14:paraId="61C3CDC7" w14:textId="30E3690D" w:rsidR="00E75645" w:rsidRDefault="00CC3AC1">
      <w:pPr>
        <w:jc w:val="both"/>
        <w:rPr>
          <w:sz w:val="28"/>
          <w:szCs w:val="28"/>
        </w:rPr>
      </w:pPr>
      <w:r>
        <w:rPr>
          <w:color w:val="0070C0"/>
        </w:rPr>
        <w:t>Druk</w:t>
      </w:r>
      <w:r>
        <w:rPr>
          <w:color w:val="0070C0"/>
        </w:rPr>
        <w:t xml:space="preserve">  wniosku o dodatek węglowy w załączeniu</w:t>
      </w:r>
      <w:r w:rsidRPr="0018484E">
        <w:rPr>
          <w:rFonts w:ascii="Arial" w:eastAsia="Times New Roman" w:hAnsi="Arial" w:cs="Arial"/>
          <w:color w:val="0000FF"/>
          <w:lang w:eastAsia="pl-PL"/>
        </w:rPr>
        <w:t>:</w:t>
      </w:r>
      <w:r w:rsidR="00000000">
        <w:rPr>
          <w:sz w:val="28"/>
          <w:szCs w:val="28"/>
        </w:rPr>
        <w:t xml:space="preserve"> </w:t>
      </w:r>
    </w:p>
    <w:p w14:paraId="1F41EFFE" w14:textId="25C6564F" w:rsidR="00CC3AC1" w:rsidRDefault="00CC3AC1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object w:dxaOrig="4095" w:dyaOrig="811" w14:anchorId="44E9E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40.5pt" o:ole="">
            <v:imagedata r:id="rId7" o:title=""/>
          </v:shape>
          <o:OLEObject Type="Embed" ProgID="Package" ShapeID="_x0000_i1025" DrawAspect="Content" ObjectID="_1722326016" r:id="rId8"/>
        </w:object>
      </w:r>
    </w:p>
    <w:sectPr w:rsidR="00CC3AC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5EBD"/>
    <w:multiLevelType w:val="multilevel"/>
    <w:tmpl w:val="A052FE8A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589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5"/>
    <w:rsid w:val="000B14C8"/>
    <w:rsid w:val="00245912"/>
    <w:rsid w:val="00554D1A"/>
    <w:rsid w:val="00CC3AC1"/>
    <w:rsid w:val="00E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9208"/>
  <w15:docId w15:val="{1E5661D7-24D3-460E-A6A8-28DE859A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retekstu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kobylka.pl/uploads/pub/news/news_828/zajawki/d45dfdf413c312150c6bb83e2624da133cfae196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Gops Abramów</cp:lastModifiedBy>
  <cp:revision>5</cp:revision>
  <cp:lastPrinted>2022-08-18T09:07:00Z</cp:lastPrinted>
  <dcterms:created xsi:type="dcterms:W3CDTF">2022-08-18T10:08:00Z</dcterms:created>
  <dcterms:modified xsi:type="dcterms:W3CDTF">2022-08-18T09:07:00Z</dcterms:modified>
  <dc:language>pl-PL</dc:language>
</cp:coreProperties>
</file>